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DCB1A" w14:textId="6BE3F0CC" w:rsidR="00835331" w:rsidRDefault="00515639" w:rsidP="00835331">
      <w:pPr>
        <w:jc w:val="center"/>
        <w:rPr>
          <w:rFonts w:ascii="Arial" w:hAnsi="Arial" w:cs="Arial"/>
          <w:b/>
          <w:color w:val="007AC2"/>
          <w:sz w:val="2"/>
          <w:szCs w:val="36"/>
        </w:rPr>
      </w:pPr>
      <w:r>
        <w:rPr>
          <w:rFonts w:ascii="Arial" w:hAnsi="Arial" w:cs="Arial"/>
          <w:b/>
          <w:color w:val="007AC2"/>
          <w:sz w:val="2"/>
          <w:szCs w:val="36"/>
        </w:rPr>
        <w:t xml:space="preserve"> </w:t>
      </w:r>
      <w:r w:rsidR="00835331">
        <w:rPr>
          <w:rFonts w:ascii="Arial" w:hAnsi="Arial" w:cs="Arial"/>
          <w:b/>
          <w:noProof/>
          <w:color w:val="007AC2"/>
          <w:sz w:val="2"/>
          <w:szCs w:val="36"/>
        </w:rPr>
        <w:drawing>
          <wp:inline distT="0" distB="0" distL="0" distR="0" wp14:anchorId="1CD2EBE8" wp14:editId="7398D833">
            <wp:extent cx="2862349" cy="1611562"/>
            <wp:effectExtent l="0" t="0" r="8255" b="0"/>
            <wp:docPr id="1" name="Picture 1" descr="../Horizon%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20cop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4061" cy="1623786"/>
                    </a:xfrm>
                    <a:prstGeom prst="rect">
                      <a:avLst/>
                    </a:prstGeom>
                    <a:noFill/>
                    <a:ln>
                      <a:noFill/>
                    </a:ln>
                  </pic:spPr>
                </pic:pic>
              </a:graphicData>
            </a:graphic>
          </wp:inline>
        </w:drawing>
      </w:r>
    </w:p>
    <w:p w14:paraId="77E30CD1" w14:textId="77777777" w:rsidR="00835331" w:rsidRDefault="00835331" w:rsidP="00DE4191">
      <w:pPr>
        <w:spacing w:after="0" w:line="240" w:lineRule="auto"/>
        <w:jc w:val="center"/>
        <w:rPr>
          <w:rFonts w:ascii="Arial" w:hAnsi="Arial" w:cs="Arial"/>
          <w:b/>
          <w:color w:val="007AC2"/>
          <w:sz w:val="24"/>
          <w:szCs w:val="24"/>
        </w:rPr>
      </w:pPr>
    </w:p>
    <w:p w14:paraId="59732703" w14:textId="77777777" w:rsidR="00DE4191" w:rsidRPr="00DE4191" w:rsidRDefault="00DE4191" w:rsidP="00DE4191">
      <w:pPr>
        <w:spacing w:after="0" w:line="240" w:lineRule="auto"/>
        <w:jc w:val="center"/>
        <w:rPr>
          <w:rFonts w:ascii="Arial" w:hAnsi="Arial" w:cs="Arial"/>
          <w:b/>
          <w:color w:val="007AC2"/>
          <w:sz w:val="36"/>
          <w:szCs w:val="36"/>
        </w:rPr>
      </w:pPr>
      <w:r w:rsidRPr="00DE4191">
        <w:rPr>
          <w:rFonts w:ascii="Arial" w:hAnsi="Arial" w:cs="Arial"/>
          <w:b/>
          <w:color w:val="007AC2"/>
          <w:sz w:val="36"/>
          <w:szCs w:val="36"/>
        </w:rPr>
        <w:t>Topcon Agriculture prepares to release Horizon 4.02</w:t>
      </w:r>
    </w:p>
    <w:p w14:paraId="5B9B7331" w14:textId="77777777" w:rsidR="00515639" w:rsidRPr="00515639" w:rsidRDefault="00515639" w:rsidP="00515639">
      <w:pPr>
        <w:spacing w:after="0" w:line="240" w:lineRule="auto"/>
        <w:jc w:val="center"/>
        <w:rPr>
          <w:rFonts w:ascii="Arial" w:hAnsi="Arial" w:cs="Arial"/>
          <w:b/>
          <w:color w:val="007AC2"/>
          <w:szCs w:val="36"/>
        </w:rPr>
      </w:pPr>
    </w:p>
    <w:p w14:paraId="6D220E7E" w14:textId="781C21B4" w:rsidR="00DE4191" w:rsidRPr="00835331" w:rsidRDefault="00C47E9C" w:rsidP="00DE4191">
      <w:pPr>
        <w:spacing w:after="0" w:line="240" w:lineRule="auto"/>
        <w:rPr>
          <w:rFonts w:ascii="Arial" w:hAnsi="Arial" w:cs="Arial"/>
          <w:bCs/>
          <w:szCs w:val="24"/>
        </w:rPr>
      </w:pPr>
      <w:r w:rsidRPr="00835331">
        <w:rPr>
          <w:rFonts w:ascii="Arial" w:hAnsi="Arial" w:cs="Arial"/>
          <w:i/>
          <w:iCs/>
          <w:szCs w:val="24"/>
        </w:rPr>
        <w:t>TURIN, Italy</w:t>
      </w:r>
      <w:r w:rsidR="00BE5A68" w:rsidRPr="00835331">
        <w:rPr>
          <w:rFonts w:ascii="Arial" w:hAnsi="Arial" w:cs="Arial"/>
          <w:i/>
          <w:szCs w:val="24"/>
        </w:rPr>
        <w:t xml:space="preserve"> </w:t>
      </w:r>
      <w:r w:rsidR="00BE5A68" w:rsidRPr="00835331">
        <w:rPr>
          <w:rFonts w:ascii="Arial" w:hAnsi="Arial" w:cs="Arial"/>
          <w:i/>
          <w:szCs w:val="24"/>
          <w:lang w:val="es-ES"/>
        </w:rPr>
        <w:t xml:space="preserve">– </w:t>
      </w:r>
      <w:r w:rsidRPr="00835331">
        <w:rPr>
          <w:rFonts w:ascii="Arial" w:hAnsi="Arial" w:cs="Arial"/>
          <w:i/>
          <w:szCs w:val="24"/>
        </w:rPr>
        <w:t xml:space="preserve">November </w:t>
      </w:r>
      <w:r w:rsidR="007A3330" w:rsidRPr="00835331">
        <w:rPr>
          <w:rFonts w:ascii="Arial" w:hAnsi="Arial" w:cs="Arial"/>
          <w:i/>
          <w:szCs w:val="24"/>
        </w:rPr>
        <w:t>15</w:t>
      </w:r>
      <w:r w:rsidR="00BE5A68" w:rsidRPr="00835331">
        <w:rPr>
          <w:rFonts w:ascii="Arial" w:hAnsi="Arial" w:cs="Arial"/>
          <w:i/>
          <w:szCs w:val="24"/>
        </w:rPr>
        <w:t xml:space="preserve">, 2017 </w:t>
      </w:r>
      <w:r w:rsidR="00BE5A68" w:rsidRPr="00835331">
        <w:rPr>
          <w:rFonts w:ascii="Arial" w:hAnsi="Arial" w:cs="Arial"/>
          <w:i/>
          <w:szCs w:val="24"/>
          <w:lang w:val="es-ES"/>
        </w:rPr>
        <w:t>–</w:t>
      </w:r>
      <w:r w:rsidR="00BE5A68" w:rsidRPr="00835331">
        <w:rPr>
          <w:rFonts w:ascii="Arial" w:hAnsi="Arial" w:cs="Arial"/>
          <w:szCs w:val="24"/>
          <w:lang w:val="es-ES"/>
        </w:rPr>
        <w:t xml:space="preserve"> </w:t>
      </w:r>
      <w:r w:rsidR="00DE4191" w:rsidRPr="00835331">
        <w:rPr>
          <w:rFonts w:ascii="Arial" w:hAnsi="Arial" w:cs="Arial"/>
          <w:bCs/>
          <w:szCs w:val="24"/>
        </w:rPr>
        <w:t xml:space="preserve">Topcon Agriculture has announced the addition of new functions including Auto Turn and Steer to Boundary applications in its upcoming Horizon 4.02 operating system.  </w:t>
      </w:r>
    </w:p>
    <w:p w14:paraId="4E92EDEF" w14:textId="77777777" w:rsidR="00DE4191" w:rsidRPr="00835331" w:rsidRDefault="00DE4191" w:rsidP="00DE4191">
      <w:pPr>
        <w:spacing w:after="0" w:line="240" w:lineRule="auto"/>
        <w:rPr>
          <w:rFonts w:ascii="Arial" w:hAnsi="Arial" w:cs="Arial"/>
          <w:bCs/>
          <w:szCs w:val="24"/>
        </w:rPr>
      </w:pPr>
    </w:p>
    <w:p w14:paraId="75BED4E5" w14:textId="77777777" w:rsidR="00DE4191" w:rsidRPr="00835331" w:rsidRDefault="00DE4191" w:rsidP="00DE4191">
      <w:pPr>
        <w:spacing w:after="0" w:line="240" w:lineRule="auto"/>
        <w:rPr>
          <w:rFonts w:ascii="Arial" w:hAnsi="Arial" w:cs="Arial"/>
          <w:bCs/>
          <w:szCs w:val="24"/>
        </w:rPr>
      </w:pPr>
      <w:r w:rsidRPr="00835331">
        <w:rPr>
          <w:rFonts w:ascii="Arial" w:hAnsi="Arial" w:cs="Arial"/>
          <w:bCs/>
          <w:szCs w:val="24"/>
        </w:rPr>
        <w:t xml:space="preserve">The Auto Turn functionality is designed to offer optimized headland efficiency.  </w:t>
      </w:r>
    </w:p>
    <w:p w14:paraId="34FA44B0" w14:textId="77777777" w:rsidR="00DE4191" w:rsidRPr="00835331" w:rsidRDefault="00DE4191" w:rsidP="00DE4191">
      <w:pPr>
        <w:spacing w:after="0" w:line="240" w:lineRule="auto"/>
        <w:rPr>
          <w:rFonts w:ascii="Arial" w:hAnsi="Arial" w:cs="Arial"/>
          <w:bCs/>
          <w:szCs w:val="24"/>
        </w:rPr>
      </w:pPr>
    </w:p>
    <w:p w14:paraId="0029D235" w14:textId="77777777" w:rsidR="00DE4191" w:rsidRPr="00835331" w:rsidRDefault="00DE4191" w:rsidP="00DE4191">
      <w:pPr>
        <w:spacing w:after="0" w:line="240" w:lineRule="auto"/>
        <w:rPr>
          <w:rFonts w:ascii="Arial" w:hAnsi="Arial" w:cs="Arial"/>
          <w:bCs/>
          <w:szCs w:val="24"/>
          <w:lang w:val="en-GB"/>
        </w:rPr>
      </w:pPr>
      <w:r w:rsidRPr="00835331">
        <w:rPr>
          <w:rFonts w:ascii="Arial" w:hAnsi="Arial" w:cs="Arial"/>
          <w:bCs/>
          <w:szCs w:val="24"/>
        </w:rPr>
        <w:t xml:space="preserve">“Multiple configuration options and the ability to select different field work patterns create the best path to use for increased field productivity,” </w:t>
      </w:r>
      <w:r w:rsidRPr="00835331">
        <w:rPr>
          <w:rFonts w:ascii="Arial" w:hAnsi="Arial" w:cs="Arial"/>
          <w:bCs/>
          <w:szCs w:val="24"/>
          <w:lang w:val="en-GB"/>
        </w:rPr>
        <w:t xml:space="preserve">said </w:t>
      </w:r>
      <w:r w:rsidRPr="00835331">
        <w:rPr>
          <w:rFonts w:ascii="Arial" w:hAnsi="Arial" w:cs="Arial"/>
          <w:bCs/>
          <w:szCs w:val="24"/>
        </w:rPr>
        <w:t xml:space="preserve">Fabio </w:t>
      </w:r>
      <w:proofErr w:type="spellStart"/>
      <w:r w:rsidRPr="00835331">
        <w:rPr>
          <w:rFonts w:ascii="Arial" w:hAnsi="Arial" w:cs="Arial"/>
          <w:bCs/>
          <w:szCs w:val="24"/>
        </w:rPr>
        <w:t>Isaia</w:t>
      </w:r>
      <w:proofErr w:type="spellEnd"/>
      <w:r w:rsidRPr="00835331">
        <w:rPr>
          <w:rFonts w:ascii="Arial" w:hAnsi="Arial" w:cs="Arial"/>
          <w:bCs/>
          <w:szCs w:val="24"/>
        </w:rPr>
        <w:t xml:space="preserve">, CEO of Topcon Agriculture. “The new software enhances our guidance products in addition to integrating into our </w:t>
      </w:r>
      <w:proofErr w:type="spellStart"/>
      <w:r w:rsidRPr="00835331">
        <w:rPr>
          <w:rFonts w:ascii="Arial" w:hAnsi="Arial" w:cs="Arial"/>
          <w:bCs/>
          <w:szCs w:val="24"/>
        </w:rPr>
        <w:t>IoT</w:t>
      </w:r>
      <w:proofErr w:type="spellEnd"/>
      <w:r w:rsidRPr="00835331">
        <w:rPr>
          <w:rFonts w:ascii="Arial" w:hAnsi="Arial" w:cs="Arial"/>
          <w:bCs/>
          <w:szCs w:val="24"/>
        </w:rPr>
        <w:t xml:space="preserve"> platform, TAP</w:t>
      </w:r>
      <w:r w:rsidRPr="00835331">
        <w:rPr>
          <w:rFonts w:ascii="Arial" w:hAnsi="Arial" w:cs="Arial"/>
          <w:bCs/>
          <w:szCs w:val="24"/>
          <w:lang w:val="en-GB"/>
        </w:rPr>
        <w:t xml:space="preserve">. It also provides added control and allows XTEND to be used on the X25 too.” </w:t>
      </w:r>
    </w:p>
    <w:p w14:paraId="5F71EC8E" w14:textId="77777777" w:rsidR="00DE4191" w:rsidRPr="00835331" w:rsidRDefault="00DE4191" w:rsidP="00DE4191">
      <w:pPr>
        <w:spacing w:after="0" w:line="240" w:lineRule="auto"/>
        <w:rPr>
          <w:rFonts w:ascii="Arial" w:hAnsi="Arial" w:cs="Arial"/>
          <w:bCs/>
          <w:szCs w:val="24"/>
          <w:lang w:val="en-GB"/>
        </w:rPr>
      </w:pPr>
    </w:p>
    <w:p w14:paraId="308CF15C" w14:textId="77777777" w:rsidR="00DE4191" w:rsidRPr="00835331" w:rsidRDefault="00DE4191" w:rsidP="00DE4191">
      <w:pPr>
        <w:spacing w:after="0" w:line="240" w:lineRule="auto"/>
        <w:rPr>
          <w:rFonts w:ascii="Arial" w:hAnsi="Arial" w:cs="Arial"/>
          <w:bCs/>
          <w:szCs w:val="24"/>
        </w:rPr>
      </w:pPr>
      <w:r w:rsidRPr="00835331">
        <w:rPr>
          <w:rFonts w:ascii="Arial" w:hAnsi="Arial" w:cs="Arial"/>
          <w:bCs/>
          <w:szCs w:val="24"/>
        </w:rPr>
        <w:t xml:space="preserve">The Steer to Boundary capabilities allow the user to create multiple guidance paths based upon an existing field boundary. “It immediately allows the operator to steer the first path around the field and achieve the benefits of Auto Guidance instantly,” said </w:t>
      </w:r>
      <w:proofErr w:type="spellStart"/>
      <w:r w:rsidRPr="00835331">
        <w:rPr>
          <w:rFonts w:ascii="Arial" w:hAnsi="Arial" w:cs="Arial"/>
          <w:bCs/>
          <w:szCs w:val="24"/>
        </w:rPr>
        <w:t>Isaia</w:t>
      </w:r>
      <w:proofErr w:type="spellEnd"/>
      <w:r w:rsidRPr="00835331">
        <w:rPr>
          <w:rFonts w:ascii="Arial" w:hAnsi="Arial" w:cs="Arial"/>
          <w:bCs/>
          <w:szCs w:val="24"/>
        </w:rPr>
        <w:t xml:space="preserve">. </w:t>
      </w:r>
    </w:p>
    <w:p w14:paraId="2A141C42" w14:textId="77777777" w:rsidR="00DE4191" w:rsidRPr="00835331" w:rsidRDefault="00DE4191" w:rsidP="00DE4191">
      <w:pPr>
        <w:spacing w:after="0" w:line="240" w:lineRule="auto"/>
        <w:rPr>
          <w:rFonts w:ascii="Arial" w:hAnsi="Arial" w:cs="Arial"/>
          <w:bCs/>
          <w:szCs w:val="24"/>
        </w:rPr>
      </w:pPr>
    </w:p>
    <w:p w14:paraId="608CCE8A" w14:textId="3C11C0CB" w:rsidR="00DE4191" w:rsidRPr="00835331" w:rsidRDefault="00DE4191" w:rsidP="00DE4191">
      <w:pPr>
        <w:spacing w:after="0" w:line="240" w:lineRule="auto"/>
        <w:rPr>
          <w:rFonts w:ascii="Arial" w:hAnsi="Arial" w:cs="Arial"/>
          <w:bCs/>
          <w:szCs w:val="24"/>
          <w:lang w:val="en-GB"/>
        </w:rPr>
      </w:pPr>
      <w:r w:rsidRPr="00835331">
        <w:rPr>
          <w:rFonts w:ascii="Arial" w:hAnsi="Arial" w:cs="Arial"/>
          <w:bCs/>
          <w:szCs w:val="24"/>
        </w:rPr>
        <w:t>The</w:t>
      </w:r>
      <w:r w:rsidRPr="00835331">
        <w:rPr>
          <w:rFonts w:ascii="Arial" w:hAnsi="Arial" w:cs="Arial"/>
          <w:bCs/>
          <w:szCs w:val="24"/>
          <w:lang w:val="en-GB"/>
        </w:rPr>
        <w:t xml:space="preserve"> console-to-console communication builds on the TAP foundation by using the capabilities of the Cloudlynk10 module to provide wireless data transfer between multiple X consoles. “This module, once attached to the console, allows users to share client information, guidance lines, implement profiles and jobs across vehicles in the same field,” said </w:t>
      </w:r>
      <w:proofErr w:type="spellStart"/>
      <w:r w:rsidRPr="00835331">
        <w:rPr>
          <w:rFonts w:ascii="Arial" w:hAnsi="Arial" w:cs="Arial"/>
          <w:bCs/>
          <w:szCs w:val="24"/>
          <w:lang w:val="en-GB"/>
        </w:rPr>
        <w:t>Isaia</w:t>
      </w:r>
      <w:proofErr w:type="spellEnd"/>
      <w:r w:rsidRPr="00835331">
        <w:rPr>
          <w:rFonts w:ascii="Arial" w:hAnsi="Arial" w:cs="Arial"/>
          <w:bCs/>
          <w:szCs w:val="24"/>
          <w:lang w:val="en-GB"/>
        </w:rPr>
        <w:t>.</w:t>
      </w:r>
    </w:p>
    <w:p w14:paraId="14DC77AD" w14:textId="77777777" w:rsidR="00DE4191" w:rsidRPr="00835331" w:rsidRDefault="00DE4191" w:rsidP="00DE4191">
      <w:pPr>
        <w:spacing w:after="0" w:line="240" w:lineRule="auto"/>
        <w:rPr>
          <w:rFonts w:ascii="Arial" w:hAnsi="Arial" w:cs="Arial"/>
          <w:bCs/>
          <w:szCs w:val="24"/>
          <w:lang w:val="en-GB"/>
        </w:rPr>
      </w:pPr>
      <w:bookmarkStart w:id="0" w:name="_GoBack"/>
      <w:bookmarkEnd w:id="0"/>
    </w:p>
    <w:p w14:paraId="68E7DEC5" w14:textId="5A0DD873" w:rsidR="00DE4191" w:rsidRPr="00835331" w:rsidRDefault="00835331" w:rsidP="00DE4191">
      <w:pPr>
        <w:spacing w:after="0" w:line="240" w:lineRule="auto"/>
        <w:rPr>
          <w:rFonts w:ascii="Arial" w:hAnsi="Arial" w:cs="Arial"/>
          <w:bCs/>
          <w:szCs w:val="24"/>
        </w:rPr>
      </w:pPr>
      <w:r w:rsidRPr="00835331">
        <w:rPr>
          <w:rFonts w:ascii="Arial" w:hAnsi="Arial" w:cs="Arial"/>
          <w:bCs/>
          <w:szCs w:val="24"/>
        </w:rPr>
        <w:t>For more information about Topcon Agriculture, visit</w:t>
      </w:r>
      <w:r>
        <w:rPr>
          <w:rFonts w:ascii="Arial" w:hAnsi="Arial" w:cs="Arial"/>
          <w:bCs/>
          <w:szCs w:val="24"/>
        </w:rPr>
        <w:t xml:space="preserve"> </w:t>
      </w:r>
      <w:hyperlink r:id="rId8" w:history="1">
        <w:r w:rsidR="00DE4191" w:rsidRPr="00835331">
          <w:rPr>
            <w:rStyle w:val="Hyperlink"/>
            <w:rFonts w:ascii="Arial" w:hAnsi="Arial" w:cs="Arial"/>
            <w:bCs/>
            <w:szCs w:val="24"/>
          </w:rPr>
          <w:t>topconagriculture.com</w:t>
        </w:r>
      </w:hyperlink>
      <w:r w:rsidR="00DE4191" w:rsidRPr="00835331">
        <w:rPr>
          <w:rFonts w:ascii="Arial" w:hAnsi="Arial" w:cs="Arial"/>
          <w:bCs/>
          <w:szCs w:val="24"/>
        </w:rPr>
        <w:t>.</w:t>
      </w:r>
    </w:p>
    <w:p w14:paraId="1B208BF6" w14:textId="2D4FE572" w:rsidR="00C47E9C" w:rsidRPr="00835331" w:rsidRDefault="00C47E9C" w:rsidP="00DE4191">
      <w:pPr>
        <w:spacing w:after="0" w:line="240" w:lineRule="auto"/>
        <w:rPr>
          <w:rFonts w:ascii="Arial" w:hAnsi="Arial" w:cs="Arial"/>
          <w:bCs/>
          <w:szCs w:val="24"/>
        </w:rPr>
      </w:pPr>
      <w:r w:rsidRPr="00835331">
        <w:rPr>
          <w:rFonts w:ascii="Arial" w:hAnsi="Arial" w:cs="Arial"/>
          <w:bCs/>
          <w:szCs w:val="24"/>
          <w:lang w:val="en-GB"/>
        </w:rPr>
        <w:t xml:space="preserve"> </w:t>
      </w:r>
    </w:p>
    <w:p w14:paraId="510EE85C" w14:textId="69BC894F" w:rsidR="008A59EB" w:rsidRPr="00835331" w:rsidRDefault="008A59EB" w:rsidP="00C47E9C">
      <w:pPr>
        <w:spacing w:after="0" w:line="240" w:lineRule="auto"/>
        <w:rPr>
          <w:rFonts w:ascii="Arial" w:hAnsi="Arial" w:cs="Arial"/>
          <w:color w:val="808080" w:themeColor="background1" w:themeShade="80"/>
          <w:sz w:val="15"/>
          <w:szCs w:val="16"/>
        </w:rPr>
      </w:pPr>
      <w:r w:rsidRPr="00835331">
        <w:rPr>
          <w:rFonts w:ascii="Arial" w:hAnsi="Arial" w:cs="Arial"/>
          <w:b/>
          <w:color w:val="808080" w:themeColor="background1" w:themeShade="80"/>
          <w:sz w:val="15"/>
          <w:szCs w:val="16"/>
        </w:rPr>
        <w:t xml:space="preserve">About Topcon Agriculture Group </w:t>
      </w:r>
      <w:r w:rsidRPr="00835331">
        <w:rPr>
          <w:rFonts w:ascii="Arial" w:hAnsi="Arial" w:cs="Arial"/>
          <w:b/>
          <w:color w:val="808080" w:themeColor="background1" w:themeShade="80"/>
          <w:sz w:val="15"/>
          <w:szCs w:val="16"/>
        </w:rPr>
        <w:br/>
      </w:r>
      <w:r w:rsidR="00C47E9C" w:rsidRPr="00835331">
        <w:rPr>
          <w:rFonts w:ascii="Arial" w:hAnsi="Arial" w:cs="Arial"/>
          <w:color w:val="808080" w:themeColor="background1" w:themeShade="80"/>
          <w:sz w:val="15"/>
          <w:szCs w:val="16"/>
        </w:rPr>
        <w:t>Topcon Agriculture Group is a division of the Topcon Positioning Group, headquartered in Livermore, California, USA (</w:t>
      </w:r>
      <w:hyperlink r:id="rId9" w:history="1">
        <w:r w:rsidR="00C47E9C" w:rsidRPr="00835331">
          <w:rPr>
            <w:rStyle w:val="Hyperlink"/>
            <w:rFonts w:ascii="Arial" w:hAnsi="Arial" w:cs="Arial"/>
            <w:sz w:val="15"/>
            <w:szCs w:val="16"/>
          </w:rPr>
          <w:t>topconpositioning.com</w:t>
        </w:r>
      </w:hyperlink>
      <w:r w:rsidR="00C47E9C" w:rsidRPr="00835331">
        <w:rPr>
          <w:rFonts w:ascii="Arial" w:hAnsi="Arial" w:cs="Arial"/>
          <w:color w:val="808080" w:themeColor="background1" w:themeShade="80"/>
          <w:sz w:val="15"/>
          <w:szCs w:val="16"/>
        </w:rPr>
        <w:t>). The global Topcon Agriculture Group (</w:t>
      </w:r>
      <w:hyperlink r:id="rId10" w:history="1">
        <w:r w:rsidR="00C47E9C" w:rsidRPr="00835331">
          <w:rPr>
            <w:rStyle w:val="Hyperlink"/>
            <w:rFonts w:ascii="Arial" w:hAnsi="Arial" w:cs="Arial"/>
            <w:sz w:val="15"/>
            <w:szCs w:val="16"/>
          </w:rPr>
          <w:t>topconagriculture.com</w:t>
        </w:r>
      </w:hyperlink>
      <w:r w:rsidR="00C47E9C" w:rsidRPr="00835331">
        <w:rPr>
          <w:rFonts w:ascii="Arial" w:hAnsi="Arial" w:cs="Arial"/>
          <w:color w:val="808080" w:themeColor="background1" w:themeShade="80"/>
          <w:sz w:val="15"/>
          <w:szCs w:val="16"/>
        </w:rPr>
        <w:t xml:space="preserve">) headquarters </w:t>
      </w:r>
      <w:proofErr w:type="gramStart"/>
      <w:r w:rsidR="00C47E9C" w:rsidRPr="00835331">
        <w:rPr>
          <w:rFonts w:ascii="Arial" w:hAnsi="Arial" w:cs="Arial"/>
          <w:color w:val="808080" w:themeColor="background1" w:themeShade="80"/>
          <w:sz w:val="15"/>
          <w:szCs w:val="16"/>
        </w:rPr>
        <w:t>is located in</w:t>
      </w:r>
      <w:proofErr w:type="gramEnd"/>
      <w:r w:rsidR="00C47E9C" w:rsidRPr="00835331">
        <w:rPr>
          <w:rFonts w:ascii="Arial" w:hAnsi="Arial" w:cs="Arial"/>
          <w:color w:val="808080" w:themeColor="background1" w:themeShade="80"/>
          <w:sz w:val="15"/>
          <w:szCs w:val="16"/>
        </w:rPr>
        <w:t xml:space="preserve"> Turin, Italy, with its North American regional headquarters in Fort Atkinson, Wisconsin. Topcon Agriculture Group provides advanced </w:t>
      </w:r>
      <w:proofErr w:type="spellStart"/>
      <w:r w:rsidR="00C47E9C" w:rsidRPr="00835331">
        <w:rPr>
          <w:rFonts w:ascii="Arial" w:hAnsi="Arial" w:cs="Arial"/>
          <w:color w:val="808080" w:themeColor="background1" w:themeShade="80"/>
          <w:sz w:val="15"/>
          <w:szCs w:val="16"/>
        </w:rPr>
        <w:t>IoT</w:t>
      </w:r>
      <w:proofErr w:type="spellEnd"/>
      <w:r w:rsidR="00C47E9C" w:rsidRPr="00835331">
        <w:rPr>
          <w:rFonts w:ascii="Arial" w:hAnsi="Arial" w:cs="Arial"/>
          <w:color w:val="808080" w:themeColor="background1" w:themeShade="80"/>
          <w:sz w:val="15"/>
          <w:szCs w:val="16"/>
        </w:rPr>
        <w:t xml:space="preserve"> connected field and farm management solutions for aftermarket and OEM customers in the agriculture industry, integrating high-precision hardware, software and data to bring efficiency and enhance productivity to every phase of the farming operations</w:t>
      </w:r>
      <w:r w:rsidR="00C47E9C" w:rsidRPr="00835331">
        <w:rPr>
          <w:rFonts w:ascii="Arial" w:hAnsi="Arial" w:cs="Arial"/>
          <w:b/>
          <w:bCs/>
          <w:color w:val="808080" w:themeColor="background1" w:themeShade="80"/>
          <w:sz w:val="15"/>
          <w:szCs w:val="16"/>
        </w:rPr>
        <w:t>.</w:t>
      </w:r>
      <w:r w:rsidR="00C47E9C" w:rsidRPr="00835331">
        <w:rPr>
          <w:rFonts w:ascii="Arial" w:hAnsi="Arial" w:cs="Arial"/>
          <w:color w:val="808080" w:themeColor="background1" w:themeShade="80"/>
          <w:sz w:val="15"/>
          <w:szCs w:val="16"/>
        </w:rPr>
        <w:t xml:space="preserve"> Its brands include Topcon, Digi-Star, RDS Technology, and NORAC. Topcon Corporation (</w:t>
      </w:r>
      <w:hyperlink r:id="rId11" w:history="1">
        <w:r w:rsidR="00C47E9C" w:rsidRPr="00835331">
          <w:rPr>
            <w:rStyle w:val="Hyperlink"/>
            <w:rFonts w:ascii="Arial" w:hAnsi="Arial" w:cs="Arial"/>
            <w:sz w:val="15"/>
            <w:szCs w:val="16"/>
          </w:rPr>
          <w:t>topcon.com</w:t>
        </w:r>
      </w:hyperlink>
      <w:r w:rsidR="00C47E9C" w:rsidRPr="00835331">
        <w:rPr>
          <w:rFonts w:ascii="Arial" w:hAnsi="Arial" w:cs="Arial"/>
          <w:color w:val="808080" w:themeColor="background1" w:themeShade="80"/>
          <w:sz w:val="15"/>
          <w:szCs w:val="16"/>
        </w:rPr>
        <w:t>), founded in 1932, is traded on the Tokyo Stock Exchange (7732).</w:t>
      </w:r>
    </w:p>
    <w:p w14:paraId="6A20895C" w14:textId="77777777" w:rsidR="000A54C5" w:rsidRPr="00835331" w:rsidRDefault="000A54C5" w:rsidP="000A54C5">
      <w:pPr>
        <w:spacing w:after="0" w:line="240" w:lineRule="auto"/>
        <w:rPr>
          <w:rFonts w:ascii="Arial" w:hAnsi="Arial" w:cs="Arial"/>
          <w:b/>
          <w:color w:val="808080" w:themeColor="background1" w:themeShade="80"/>
          <w:sz w:val="15"/>
          <w:szCs w:val="16"/>
        </w:rPr>
      </w:pPr>
    </w:p>
    <w:p w14:paraId="4FEFCCF4" w14:textId="78AE62FE" w:rsidR="00A52A7A" w:rsidRPr="00835331" w:rsidRDefault="006D6CC7" w:rsidP="000A54C5">
      <w:pPr>
        <w:spacing w:after="0" w:line="240" w:lineRule="auto"/>
        <w:jc w:val="center"/>
        <w:rPr>
          <w:rFonts w:ascii="Arial" w:hAnsi="Arial" w:cs="Arial"/>
          <w:color w:val="808080" w:themeColor="background1" w:themeShade="80"/>
          <w:sz w:val="15"/>
          <w:szCs w:val="16"/>
        </w:rPr>
      </w:pPr>
      <w:r w:rsidRPr="00835331">
        <w:rPr>
          <w:rFonts w:ascii="Arial" w:hAnsi="Arial" w:cs="Arial"/>
          <w:color w:val="808080" w:themeColor="background1" w:themeShade="80"/>
          <w:sz w:val="15"/>
          <w:szCs w:val="16"/>
        </w:rPr>
        <w:t>#</w:t>
      </w:r>
      <w:r w:rsidR="00100956" w:rsidRPr="00835331">
        <w:rPr>
          <w:rFonts w:ascii="Arial" w:hAnsi="Arial" w:cs="Arial"/>
          <w:color w:val="808080" w:themeColor="background1" w:themeShade="80"/>
          <w:sz w:val="15"/>
          <w:szCs w:val="16"/>
        </w:rPr>
        <w:t xml:space="preserve"> </w:t>
      </w:r>
      <w:r w:rsidRPr="00835331">
        <w:rPr>
          <w:rFonts w:ascii="Arial" w:hAnsi="Arial" w:cs="Arial"/>
          <w:color w:val="808080" w:themeColor="background1" w:themeShade="80"/>
          <w:sz w:val="15"/>
          <w:szCs w:val="16"/>
        </w:rPr>
        <w:t>#</w:t>
      </w:r>
      <w:r w:rsidR="00100956" w:rsidRPr="00835331">
        <w:rPr>
          <w:rFonts w:ascii="Arial" w:hAnsi="Arial" w:cs="Arial"/>
          <w:color w:val="808080" w:themeColor="background1" w:themeShade="80"/>
          <w:sz w:val="15"/>
          <w:szCs w:val="16"/>
        </w:rPr>
        <w:t xml:space="preserve"> </w:t>
      </w:r>
      <w:r w:rsidRPr="00835331">
        <w:rPr>
          <w:rFonts w:ascii="Arial" w:hAnsi="Arial" w:cs="Arial"/>
          <w:color w:val="808080" w:themeColor="background1" w:themeShade="80"/>
          <w:sz w:val="15"/>
          <w:szCs w:val="16"/>
        </w:rPr>
        <w:t>#</w:t>
      </w:r>
    </w:p>
    <w:p w14:paraId="6D683CEC" w14:textId="77777777" w:rsidR="00515639" w:rsidRPr="00835331" w:rsidRDefault="00515639" w:rsidP="000A54C5">
      <w:pPr>
        <w:spacing w:after="0" w:line="240" w:lineRule="auto"/>
        <w:jc w:val="center"/>
        <w:rPr>
          <w:rFonts w:ascii="Arial" w:hAnsi="Arial" w:cs="Arial"/>
          <w:color w:val="808080" w:themeColor="background1" w:themeShade="80"/>
          <w:sz w:val="15"/>
          <w:szCs w:val="16"/>
        </w:rPr>
      </w:pPr>
    </w:p>
    <w:p w14:paraId="4247AD8E" w14:textId="5E394822" w:rsidR="00100956" w:rsidRPr="00835331" w:rsidRDefault="00C0051B" w:rsidP="00183D4F">
      <w:pPr>
        <w:spacing w:after="0" w:line="240" w:lineRule="auto"/>
        <w:outlineLvl w:val="0"/>
        <w:rPr>
          <w:rFonts w:ascii="Arial" w:hAnsi="Arial" w:cs="Arial"/>
          <w:b/>
          <w:color w:val="808080" w:themeColor="background1" w:themeShade="80"/>
          <w:sz w:val="15"/>
          <w:szCs w:val="16"/>
        </w:rPr>
      </w:pPr>
      <w:r w:rsidRPr="00835331">
        <w:rPr>
          <w:rFonts w:ascii="Arial" w:hAnsi="Arial" w:cs="Arial"/>
          <w:b/>
          <w:color w:val="808080" w:themeColor="background1" w:themeShade="80"/>
          <w:sz w:val="15"/>
          <w:szCs w:val="16"/>
        </w:rPr>
        <w:t>Press Contact</w:t>
      </w:r>
      <w:r w:rsidR="00B316B4" w:rsidRPr="00835331">
        <w:rPr>
          <w:rFonts w:ascii="Arial" w:hAnsi="Arial" w:cs="Arial"/>
          <w:b/>
          <w:color w:val="808080" w:themeColor="background1" w:themeShade="80"/>
          <w:sz w:val="15"/>
          <w:szCs w:val="16"/>
        </w:rPr>
        <w:t xml:space="preserve">: </w:t>
      </w:r>
    </w:p>
    <w:p w14:paraId="6DCE2A87" w14:textId="77777777" w:rsidR="0083590F" w:rsidRPr="00835331" w:rsidRDefault="0083590F" w:rsidP="00183D4F">
      <w:pPr>
        <w:spacing w:after="0" w:line="240" w:lineRule="auto"/>
        <w:outlineLvl w:val="0"/>
        <w:rPr>
          <w:rFonts w:ascii="Arial" w:hAnsi="Arial" w:cs="Arial"/>
          <w:bCs/>
          <w:color w:val="808080" w:themeColor="background1" w:themeShade="80"/>
          <w:sz w:val="15"/>
          <w:szCs w:val="16"/>
        </w:rPr>
      </w:pPr>
      <w:r w:rsidRPr="00835331">
        <w:rPr>
          <w:rFonts w:ascii="Arial" w:hAnsi="Arial" w:cs="Arial"/>
          <w:bCs/>
          <w:color w:val="808080" w:themeColor="background1" w:themeShade="80"/>
          <w:sz w:val="15"/>
          <w:szCs w:val="16"/>
        </w:rPr>
        <w:t>Topcon Positioning Group</w:t>
      </w:r>
    </w:p>
    <w:p w14:paraId="19427BE6" w14:textId="77777777" w:rsidR="0083590F" w:rsidRPr="00835331" w:rsidRDefault="0083590F" w:rsidP="0083590F">
      <w:pPr>
        <w:spacing w:after="0" w:line="240" w:lineRule="auto"/>
        <w:rPr>
          <w:rFonts w:ascii="Arial" w:hAnsi="Arial" w:cs="Arial"/>
          <w:bCs/>
          <w:color w:val="808080" w:themeColor="background1" w:themeShade="80"/>
          <w:sz w:val="15"/>
          <w:szCs w:val="16"/>
        </w:rPr>
      </w:pPr>
      <w:r w:rsidRPr="00835331">
        <w:rPr>
          <w:rFonts w:ascii="Arial" w:hAnsi="Arial" w:cs="Arial"/>
          <w:bCs/>
          <w:color w:val="808080" w:themeColor="background1" w:themeShade="80"/>
          <w:sz w:val="15"/>
          <w:szCs w:val="16"/>
        </w:rPr>
        <w:t>Staci Fitzgerald</w:t>
      </w:r>
    </w:p>
    <w:p w14:paraId="2697EDF7" w14:textId="77777777" w:rsidR="0083590F" w:rsidRPr="00835331" w:rsidRDefault="005219BC" w:rsidP="0083590F">
      <w:pPr>
        <w:spacing w:after="0" w:line="240" w:lineRule="auto"/>
        <w:rPr>
          <w:rFonts w:ascii="Arial" w:hAnsi="Arial" w:cs="Arial"/>
          <w:bCs/>
          <w:color w:val="808080" w:themeColor="background1" w:themeShade="80"/>
          <w:sz w:val="15"/>
          <w:szCs w:val="16"/>
        </w:rPr>
      </w:pPr>
      <w:hyperlink r:id="rId12" w:history="1">
        <w:r w:rsidR="0083590F" w:rsidRPr="00835331">
          <w:rPr>
            <w:rStyle w:val="Hyperlink"/>
            <w:rFonts w:ascii="Arial" w:hAnsi="Arial" w:cs="Arial"/>
            <w:bCs/>
            <w:sz w:val="15"/>
            <w:szCs w:val="16"/>
          </w:rPr>
          <w:t>corpcomm@topcon.com</w:t>
        </w:r>
      </w:hyperlink>
    </w:p>
    <w:p w14:paraId="2D90D42E" w14:textId="77777777" w:rsidR="0083590F" w:rsidRPr="00835331" w:rsidRDefault="0083590F" w:rsidP="0083590F">
      <w:pPr>
        <w:spacing w:after="0" w:line="240" w:lineRule="auto"/>
        <w:rPr>
          <w:rFonts w:ascii="Arial" w:hAnsi="Arial" w:cs="Arial"/>
          <w:bCs/>
          <w:color w:val="808080" w:themeColor="background1" w:themeShade="80"/>
          <w:sz w:val="15"/>
          <w:szCs w:val="16"/>
        </w:rPr>
      </w:pPr>
      <w:r w:rsidRPr="00835331">
        <w:rPr>
          <w:rFonts w:ascii="Arial" w:hAnsi="Arial" w:cs="Arial"/>
          <w:bCs/>
          <w:color w:val="808080" w:themeColor="background1" w:themeShade="80"/>
          <w:sz w:val="15"/>
          <w:szCs w:val="16"/>
        </w:rPr>
        <w:t>+1 925-245-8610</w:t>
      </w:r>
    </w:p>
    <w:p w14:paraId="67A380E6" w14:textId="01A91E39" w:rsidR="00160745" w:rsidRPr="00835331" w:rsidRDefault="0083590F" w:rsidP="00C47E9C">
      <w:pPr>
        <w:spacing w:after="0" w:line="240" w:lineRule="auto"/>
        <w:rPr>
          <w:rFonts w:ascii="Arial" w:hAnsi="Arial" w:cs="Arial"/>
          <w:bCs/>
          <w:color w:val="808080" w:themeColor="background1" w:themeShade="80"/>
          <w:sz w:val="15"/>
          <w:szCs w:val="16"/>
        </w:rPr>
      </w:pPr>
      <w:r w:rsidRPr="00835331">
        <w:rPr>
          <w:rFonts w:ascii="Arial" w:hAnsi="Arial" w:cs="Arial"/>
          <w:bCs/>
          <w:color w:val="808080" w:themeColor="background1" w:themeShade="80"/>
          <w:sz w:val="15"/>
          <w:szCs w:val="16"/>
        </w:rPr>
        <w:t> </w:t>
      </w:r>
    </w:p>
    <w:sectPr w:rsidR="00160745" w:rsidRPr="00835331" w:rsidSect="00160745">
      <w:headerReference w:type="default" r:id="rId13"/>
      <w:footerReference w:type="default" r:id="rId14"/>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3A0FC" w14:textId="77777777" w:rsidR="005219BC" w:rsidRDefault="005219BC" w:rsidP="00C0051B">
      <w:pPr>
        <w:spacing w:after="0" w:line="240" w:lineRule="auto"/>
      </w:pPr>
      <w:r>
        <w:separator/>
      </w:r>
    </w:p>
  </w:endnote>
  <w:endnote w:type="continuationSeparator" w:id="0">
    <w:p w14:paraId="483B1CAE" w14:textId="77777777" w:rsidR="005219BC" w:rsidRDefault="005219BC"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730E8" w14:textId="77777777" w:rsidR="005219BC" w:rsidRDefault="005219BC" w:rsidP="00C0051B">
      <w:pPr>
        <w:spacing w:after="0" w:line="240" w:lineRule="auto"/>
      </w:pPr>
      <w:r>
        <w:separator/>
      </w:r>
    </w:p>
  </w:footnote>
  <w:footnote w:type="continuationSeparator" w:id="0">
    <w:p w14:paraId="07500C40" w14:textId="77777777" w:rsidR="005219BC" w:rsidRDefault="005219BC"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62ADB"/>
    <w:rsid w:val="000A54C5"/>
    <w:rsid w:val="000D6E25"/>
    <w:rsid w:val="00100956"/>
    <w:rsid w:val="00127DC1"/>
    <w:rsid w:val="00147AD0"/>
    <w:rsid w:val="00160745"/>
    <w:rsid w:val="00183D4F"/>
    <w:rsid w:val="00185694"/>
    <w:rsid w:val="001B0E35"/>
    <w:rsid w:val="002009B7"/>
    <w:rsid w:val="00206B4E"/>
    <w:rsid w:val="00215ABC"/>
    <w:rsid w:val="002204AE"/>
    <w:rsid w:val="0023586D"/>
    <w:rsid w:val="0026243B"/>
    <w:rsid w:val="002B0489"/>
    <w:rsid w:val="002C4CA0"/>
    <w:rsid w:val="003127E8"/>
    <w:rsid w:val="0033262D"/>
    <w:rsid w:val="00396363"/>
    <w:rsid w:val="003A2650"/>
    <w:rsid w:val="003C2C91"/>
    <w:rsid w:val="003E7538"/>
    <w:rsid w:val="003E7DC8"/>
    <w:rsid w:val="00416F47"/>
    <w:rsid w:val="004413BC"/>
    <w:rsid w:val="004618CD"/>
    <w:rsid w:val="004A599B"/>
    <w:rsid w:val="004B1444"/>
    <w:rsid w:val="004B4B1F"/>
    <w:rsid w:val="004B5009"/>
    <w:rsid w:val="004D24F5"/>
    <w:rsid w:val="00515639"/>
    <w:rsid w:val="005219BC"/>
    <w:rsid w:val="00536C9E"/>
    <w:rsid w:val="0057688E"/>
    <w:rsid w:val="005870F3"/>
    <w:rsid w:val="00681CE8"/>
    <w:rsid w:val="006B18E5"/>
    <w:rsid w:val="006D6CC7"/>
    <w:rsid w:val="006F0FDB"/>
    <w:rsid w:val="006F2203"/>
    <w:rsid w:val="006F6694"/>
    <w:rsid w:val="00703C71"/>
    <w:rsid w:val="007205DD"/>
    <w:rsid w:val="00732130"/>
    <w:rsid w:val="007428E6"/>
    <w:rsid w:val="00764BCB"/>
    <w:rsid w:val="00767E96"/>
    <w:rsid w:val="00770798"/>
    <w:rsid w:val="007728C9"/>
    <w:rsid w:val="00773597"/>
    <w:rsid w:val="0078029C"/>
    <w:rsid w:val="007A3330"/>
    <w:rsid w:val="007C5589"/>
    <w:rsid w:val="007D1790"/>
    <w:rsid w:val="007D495D"/>
    <w:rsid w:val="00823C96"/>
    <w:rsid w:val="00835331"/>
    <w:rsid w:val="0083590F"/>
    <w:rsid w:val="00855255"/>
    <w:rsid w:val="0086064A"/>
    <w:rsid w:val="00871BDD"/>
    <w:rsid w:val="0089482E"/>
    <w:rsid w:val="008A59EB"/>
    <w:rsid w:val="008B3AB6"/>
    <w:rsid w:val="008C09DC"/>
    <w:rsid w:val="00913CE4"/>
    <w:rsid w:val="00917986"/>
    <w:rsid w:val="00931C9E"/>
    <w:rsid w:val="00952284"/>
    <w:rsid w:val="00993D3A"/>
    <w:rsid w:val="009A06CF"/>
    <w:rsid w:val="009E2B71"/>
    <w:rsid w:val="009F4B8B"/>
    <w:rsid w:val="00A52A7A"/>
    <w:rsid w:val="00A6367E"/>
    <w:rsid w:val="00A7793F"/>
    <w:rsid w:val="00A77DB1"/>
    <w:rsid w:val="00A8467F"/>
    <w:rsid w:val="00AA1383"/>
    <w:rsid w:val="00AB2EFF"/>
    <w:rsid w:val="00AC1DD7"/>
    <w:rsid w:val="00AE4785"/>
    <w:rsid w:val="00B316B4"/>
    <w:rsid w:val="00B445B2"/>
    <w:rsid w:val="00B458A1"/>
    <w:rsid w:val="00B5332B"/>
    <w:rsid w:val="00BC4D31"/>
    <w:rsid w:val="00BD5133"/>
    <w:rsid w:val="00BD72AA"/>
    <w:rsid w:val="00BE5A68"/>
    <w:rsid w:val="00BE6712"/>
    <w:rsid w:val="00C0051B"/>
    <w:rsid w:val="00C026A1"/>
    <w:rsid w:val="00C12916"/>
    <w:rsid w:val="00C47E9C"/>
    <w:rsid w:val="00C71644"/>
    <w:rsid w:val="00C75353"/>
    <w:rsid w:val="00CA40F4"/>
    <w:rsid w:val="00D124EF"/>
    <w:rsid w:val="00D15701"/>
    <w:rsid w:val="00D172AE"/>
    <w:rsid w:val="00D45D5E"/>
    <w:rsid w:val="00D46BFE"/>
    <w:rsid w:val="00D82672"/>
    <w:rsid w:val="00DA391C"/>
    <w:rsid w:val="00DE4191"/>
    <w:rsid w:val="00DF4680"/>
    <w:rsid w:val="00E124D4"/>
    <w:rsid w:val="00E551E0"/>
    <w:rsid w:val="00E96BB8"/>
    <w:rsid w:val="00EA4C62"/>
    <w:rsid w:val="00EB1E8A"/>
    <w:rsid w:val="00EC122D"/>
    <w:rsid w:val="00ED1414"/>
    <w:rsid w:val="00ED2040"/>
    <w:rsid w:val="00ED2E2B"/>
    <w:rsid w:val="00F123C9"/>
    <w:rsid w:val="00F91B21"/>
    <w:rsid w:val="00F93C42"/>
    <w:rsid w:val="00FA4258"/>
    <w:rsid w:val="00FB2E98"/>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481924851">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1937135881">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topconagriculture.com/" TargetMode="External"/><Relationship Id="rId9" Type="http://schemas.openxmlformats.org/officeDocument/2006/relationships/hyperlink" Target="http://www.topconpositioning.com/" TargetMode="External"/><Relationship Id="rId10" Type="http://schemas.openxmlformats.org/officeDocument/2006/relationships/hyperlink" Target="http://www.topconagricultu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91E73C0-A853-714C-B0AD-1CB06134D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384</Words>
  <Characters>2190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5</cp:revision>
  <cp:lastPrinted>2017-04-26T14:15:00Z</cp:lastPrinted>
  <dcterms:created xsi:type="dcterms:W3CDTF">2017-11-13T21:26:00Z</dcterms:created>
  <dcterms:modified xsi:type="dcterms:W3CDTF">2017-11-14T17:11:00Z</dcterms:modified>
</cp:coreProperties>
</file>